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10"/>
        </w:rPr>
        <w:br/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2"/>
        <w:gridCol w:w="4583"/>
      </w:tblGrid>
      <w:tr>
        <w:tblPrEx/>
        <w:trPr>
          <w:trHeight w:val="1558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  <w:sz w:val="28"/>
              </w:rPr>
              <w:t xml:space="preserve">Приложение 3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</w:r>
            <w:r>
              <w:rPr>
                <w:color w:val="000000"/>
                <w:sz w:val="28"/>
              </w:rPr>
              <w:t xml:space="preserve">от</w:t>
            </w:r>
            <w:r>
              <w:rPr>
                <w:color w:val="000000"/>
                <w:sz w:val="28"/>
              </w:rPr>
              <w:t xml:space="preserve">         </w:t>
            </w:r>
            <w:r>
              <w:rPr>
                <w:color w:val="000000"/>
                <w:sz w:val="28"/>
              </w:rPr>
              <w:t xml:space="preserve">            </w:t>
            </w:r>
            <w:r>
              <w:rPr>
                <w:color w:val="000000"/>
                <w:sz w:val="28"/>
              </w:rPr>
              <w:t xml:space="preserve">№ 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1558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  <w:sz w:val="28"/>
              </w:rPr>
              <w:t xml:space="preserve">"Приложение 3 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  <w:t xml:space="preserve">от 17.12.2024 № 145-МПА 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520"/>
          <w:tblHeader/>
        </w:trPr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Распределение бюджетных ассигнований в ведомственной структуре расходов бюджета </w:t>
            </w:r>
            <w:r>
              <w:rPr>
                <w:color w:val="000000"/>
                <w:sz w:val="28"/>
              </w:rPr>
            </w:r>
          </w:p>
          <w:p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Владивостокского городского округа на 2025 год и плановый период 2026 и 2027 годов</w:t>
            </w:r>
            <w:r>
              <w:rPr>
                <w:color w:val="000000"/>
                <w:sz w:val="28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1140"/>
        <w:gridCol w:w="829"/>
        <w:gridCol w:w="1395"/>
        <w:gridCol w:w="887"/>
        <w:gridCol w:w="2254"/>
        <w:gridCol w:w="2246"/>
        <w:gridCol w:w="2277"/>
      </w:tblGrid>
      <w:tr>
        <w:tblPrEx/>
        <w:trPr>
          <w:trHeight w:val="408"/>
          <w:tblHeader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главного распор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дителя бюдже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ных средств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разд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ла,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под-раздела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целевой ст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тьи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</w:t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 вида </w:t>
            </w:r>
            <w:r>
              <w:rPr>
                <w:color w:val="000000"/>
              </w:rPr>
              <w:t xml:space="preserve">расх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1319"/>
          <w:tblHeader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2027 год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1140"/>
        <w:gridCol w:w="829"/>
        <w:gridCol w:w="1395"/>
        <w:gridCol w:w="887"/>
        <w:gridCol w:w="2254"/>
        <w:gridCol w:w="2246"/>
        <w:gridCol w:w="2277"/>
      </w:tblGrid>
      <w:tr>
        <w:tblPrEx/>
        <w:trPr>
          <w:trHeight w:val="393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27 311 874 787,39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27 265 310 205,64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907 504 364,02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1 706 400 811,88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26 404 370 423,37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25 558 909 393,76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185 237 039,47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185 137 039,47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Функционирование законодател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(представительных) органов государственной власти и предст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вительных органов муниципал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образований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185 137 039,47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185 137 039,47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Председатель представительного органа муниципального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Депутаты представительного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Помощники депутатов представ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105 310 832,38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97 955 843,27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101 575 765,75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86 000 473,56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89 324 656,84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92 901 533,71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19 271 514,82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8 593 174,43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8 637 052,04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в области повыш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 уровня информированности населения о социально-экономических и культурных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цессах, происходящих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69 512 171,88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69 474 171,88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фина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69 474 171,88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69 474 171,88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Председатель контрольно-счетной палаты муниципального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Заместители председателя ко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трольно-счётной палаты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Аудиторы контрольно-счётной п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32 126 370,91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33 082 424,13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34 397 325,65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31 583 435,76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32 844 274,13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34 159 175,65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542 935,15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1 777 575,00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959 599,00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1 014 599,00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t xml:space="preserve">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1 702 575,00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884 599,00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939 599,00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Администрация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3 560 086 726,25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2 745 777 389,46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2 181 889 656,34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2 257 745 054,39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1 825 663 369,58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1 815 020 720,61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Функционирование высшего должностного лица субъекта Ро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сийской Федерации и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Глава муниципального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</w:t>
            </w:r>
            <w:r>
              <w:rPr>
                <w:color w:val="000000"/>
              </w:rPr>
              <w:t xml:space="preserve">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ственной власти субъектов Ро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сийской Федерации, местных а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министраций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1 146 883 598,50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1 184 090 634,63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1 231 424 695,38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35 252 839,77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16 152 352,29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16 165 473,79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Резервные фонды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330 117 386,33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330 117 386,33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Предупреждение возникновения чрезвычайных ситуаций в гран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цах (на территории)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округа, провед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 аварийно-восстановительных работ по ликвидации последствий, </w:t>
            </w:r>
            <w:r>
              <w:rPr>
                <w:color w:val="000000"/>
              </w:rPr>
              <w:t xml:space="preserve">возникших вследствие непреод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Создание, хранение, использов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ние и восполнение резервов мат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риальных ресурсов для ликвид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чрезвычайных ситуаций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Финансовый резерв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738 754 511,32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494 814 882,56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496 545 562,40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госбережение и повышение эне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"Эксплуатация зданий, стро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ний, сооружений, систем инжене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но-технического обеспечения и разработка проектно-сметной 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кументации"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"Оснащение зданий, строений энергосберегающими системами, элементами и ограждающими ко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струкциями"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734 104 751,32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490 165 122,56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491 895 802,40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72 303 005,55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15 691 664,67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15 882 074,19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15 274 055,52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7 596 067,00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7 840 598,00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56 328 950,03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7 595 597,67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7 541 476,19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в области повыш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 уровня информированности населения о социально-экономических и культурных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цессах, происходящих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Осуществление переданных по</w:t>
            </w:r>
            <w:r>
              <w:rPr>
                <w:color w:val="000000"/>
              </w:rPr>
              <w:t xml:space="preserve">л</w:t>
            </w:r>
            <w:r>
              <w:rPr>
                <w:color w:val="000000"/>
              </w:rPr>
              <w:t xml:space="preserve">номочий Российской Федерации на государственную регистрацию а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512 419 914,56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321 568 764,12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307 461 848,00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319 763 655,00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184 847 678,44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45 424 489,15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33 123 803,15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6 003 472,00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5 969 911,00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5 968 790,00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Единая субвенция местным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22 800 222,00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23 794 472,00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24 746 251,00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22 800 222,00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23 794 472,00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24 746 251,00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Субвенции, передаваемые бюдж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ту Владивостокского городского округа на реализацию 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венного полномочия по регулир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ванию цен (тарифов) на перевозки пассажиров и багажа морским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щественным транспортом на те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ритории Владивостокского горо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выполнение орган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ми местного самоуправления о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дельных государственных полн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мочий по государственному </w:t>
            </w:r>
            <w:r>
              <w:rPr>
                <w:color w:val="000000"/>
              </w:rPr>
              <w:t xml:space="preserve">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6 104 746,00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6 598 614,00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6 054 746,00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6 548 614,00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регистрацию и учет граждан, имеющих право на пол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чение жилищных субсидий в связи с переселением из районов Кра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пальных образований Приморск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края на реализацию полномочий Российской Федерации на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ственную регистрацию актов гр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жданского состояния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</w:t>
            </w:r>
            <w:r>
              <w:rPr>
                <w:color w:val="000000"/>
              </w:rPr>
              <w:t xml:space="preserve">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ми детей-сирот и детей, оставши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без попечения родителей, лиц из их числа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9 097 694,61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8 987 694,61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15 233 836,48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15 219 616,48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15 219 616,48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Субвенции, передаваемые органам местного самоуправления горо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ских округов и муниципальных районов Приморского края на ре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лизацию государственного полн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мочия по установлению регул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руемых тарифов на регулярные перевозки пассажиров и багажа автомобильным и наземным эле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трическим общественным тран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портом по муниципальным ма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шрутам в границах муниципальн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наци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нальной экономики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12 079 496,05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12 552 783,91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13 045 773,18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3 149 353,35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2 661 845,49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2 168 856,22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888 228 594,89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653 771 996,74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102 280 186,67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597 470 996,33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621 895 281,90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62 321 355,99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земельных уч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стков, предоставленных на бе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платной основе гражданам, име</w:t>
            </w:r>
            <w:r>
              <w:rPr>
                <w:color w:val="000000"/>
              </w:rPr>
              <w:t xml:space="preserve">ю</w:t>
            </w:r>
            <w:r>
              <w:rPr>
                <w:color w:val="000000"/>
              </w:rPr>
              <w:t xml:space="preserve">щим трех и более детей, инжене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твердым топл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вом населения города Владивост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ка, проживающего в домах с пе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ным отоплением"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госбережение и повышение эне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550 763 178,59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591 322 727,25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28 933 714,98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"Моде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низация коммунальной инфр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структуры"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242 706 828,86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"Создание и развитие об</w:t>
            </w:r>
            <w:r>
              <w:rPr>
                <w:color w:val="000000"/>
              </w:rPr>
              <w:t xml:space="preserve">ъ</w:t>
            </w:r>
            <w:r>
              <w:rPr>
                <w:color w:val="000000"/>
              </w:rPr>
              <w:t xml:space="preserve">ектов газоснабжения во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"Строительство, реконс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рукция, капитальный ремонт и 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дернизация объектов коммунал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хозяйства"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78 966 162,15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12 448 244,00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66 517 918,15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308 056 349,73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79 712 927,20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26 252 514,98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"Строительство, реконстру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ция, капитальный ремонт и моде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низация объектов муниципальной собственности коммунального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значения находящиеся на праве хозяйственного ведения у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ципального унитарного предпр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ятия города Владивостока "Влад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востокское предприятие электр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ческих сетей"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13 423 232,80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15 031 232,80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</w:t>
            </w:r>
            <w:r>
              <w:rPr>
                <w:color w:val="000000"/>
              </w:rPr>
              <w:t xml:space="preserve">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"Строительство, реконстру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ция, капитальный ремонт и моде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низация объектов коммунального назначения в области коммунал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хозяйства во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263 525 116,93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66 289 694,40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31 544 535,75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231 980 581,18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"Возмещение недополученных доходов в связи с выполнением работ, оказанием услуг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пальными унитарными предпр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ятиями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38 276 934,81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24 245 895,23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25 412 243,99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мероприятий по эв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куации и защите населения в связи с угрозой и возникновением чре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по доставке твердого топлива населению пос. Русский, пос. Попова, пос. Рейнеке и с. 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реговое</w:t>
            </w:r>
            <w:r>
              <w:rPr>
                <w:color w:val="000000"/>
              </w:rPr>
              <w:t xml:space="preserve">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Мероприятия по содержанию бани в поселке Попова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290 757 598,56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290 757 598,56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"Благоустройство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256 914 728,56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"Благоустройство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256 914 728,56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2 535 208,60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254 379 519,96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ОКРУЖАЮЩЕЙ СР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"Мероприятия в области фо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мирования экологической культ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ры, развития экологического 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Разработка, проведение 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венной экспертизы проекта 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культивации территории, загря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ненной отходами и проверка до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товерности определения сметной стоимости проектной документ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по проекту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59 095 763,92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20 659 808,49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20 700 808,49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1 049 840,00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445 900,00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906 740,00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756 740,00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756 740,00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58 045 923,92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58 045 923,92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23 278 555,49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23 278 555,49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718 400,00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КУЛЬТУРА, КИНЕМАТОГР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ФИЯ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культ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ры, кинематографии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газоснабжения объектов культурного наследия (памятников истории и культуры), находящихся в муниципальной собственности ВГО"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2 700 060,00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324 164 632,57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223 903 118,17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222 000 524,09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Пенсионное обеспечение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Прочие мероприятия в области 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циальной политики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202 415 190,00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предоставления социальных выплат на приобрет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ние жилого помещения или стро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ми детей-сирот и детей, оставши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без попечения родителей, лиц из их числа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соц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альной политики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22 145 545,57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"Оказание финансовой поддержки из бюджета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стокского городского округа СОНКО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"Взаимодействие с общ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5 290 000,00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4 830 000,00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"Развитие территориал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общественного самоуправл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 на территории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Проведение мероприятий по ув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ковечиванию памяти участников специальной военной операции, а также лиц, призванных на военную службу по мобилизации, в случае </w:t>
            </w:r>
            <w:r>
              <w:rPr>
                <w:color w:val="000000"/>
              </w:rPr>
              <w:t xml:space="preserve">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опеки и попечительс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ва администрации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213 246 703,42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240 449 674,17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247 521 032,73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реализацию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дарственных полномочий органов опеки и попечительства в отнош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46 601 104,00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48 637 572,00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50 583 075,00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2 587 500,00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реализацию гос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дарственных полномочий органов опеки и попечительства в отнош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пальных образований Приморск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края на реализацию 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венных полномочий по социальной поддержке детей, оставшихся без попечения родителей, и лиц,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нявших на воспитание в семью 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тей, оставшихся без попечения 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дителей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188 617 702,17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193 743 557,73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29 594 057,35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19 071 682,61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18 334 406,35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"Озеленение территории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7 326 000,00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7 326 000,00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"Благоустройство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3 929 751,00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3 929 751,00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административно-территориальное управление поселка Трудовое а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</w:t>
            </w:r>
            <w:r>
              <w:rPr>
                <w:color w:val="000000"/>
              </w:rPr>
              <w:t xml:space="preserve">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7 709 507,97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пасности и взаимодействия с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265 307 337,85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258 481 927,05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258 662 191,42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16 415 699,20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20 947 604,00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12 162 780,00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Судебная система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осуществление по</w:t>
            </w:r>
            <w:r>
              <w:rPr>
                <w:color w:val="000000"/>
              </w:rPr>
              <w:t xml:space="preserve">л</w:t>
            </w:r>
            <w:r>
              <w:rPr>
                <w:color w:val="000000"/>
              </w:rPr>
              <w:t xml:space="preserve">номочий по составлению (измен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нию) списков кандидатов в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сяжные заседатели федеральных судов общей юрисдикции в Ро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сийской Федерации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15 108 149,20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10 519 554,00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10 940 336,00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15 108 149,20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10 519 554,00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10 940 336,00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5 022 646,20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5 022 646,20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Единая субвенция местным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10 085 503,00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10 519 554,00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10 940 336,00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10 045 489,86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10 447 691,98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10 865 623,57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40 013,14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71 862,02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74 712,43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БЕЗОПА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НОСТЬ И ПРАВООХРАН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ТЕЛЬНАЯ ДЕЯТЕЛЬНОСТЬ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248 764 903,31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237 530 423,05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246 495 511,42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Гражданская оборона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54 144 172,67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56 287 390,00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58 540 421,00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3 444 292,30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1 789 482,35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1 837 309,64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1 022 386,00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2 416 131,00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2 354 203,00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Защита населения и территории от чрезвычайных ситуаций природн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и техногенного характера,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жарная безопасность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190 154 052,34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190 154 052,34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C</w:t>
            </w:r>
            <w:r>
              <w:rPr>
                <w:color w:val="000000"/>
              </w:rPr>
              <w:t xml:space="preserve">одержание</w:t>
            </w:r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44 815 667,18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46 451 313,52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44 373 509,18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46 149 155,52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442 158,00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302 158,00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Устройство и содержание минер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лизованных противопожарных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лос на территории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136 738 385,16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130 586 106,18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135 767 170,18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120 853 235,01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125 620 778,00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130 647 935,00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14 939 053,15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4 719 744,18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4 874 163,18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946 097,00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245 584,00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245 072,00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126 735,34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126 735,34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122 835,34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122 835,34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122 835,34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1 014 335 006,41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659 762 537,14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595 513 761,53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1 014 331 106,41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659 758 637,14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595 509 861,53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Физическая культура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"Создание условий, обеспеч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вающих возможность системат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чески заниматься физической культурой и спортом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562 457 129,84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201 284 596,84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108 481 748,69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562 457 129,84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201 284 596,84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108 481 748,69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региональных проектов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562 457 129,84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91 284 596,84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108 481 748,69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"Совершенствование спорти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"Создание условий, обеспеч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вающих возможность системат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чески заниматься физической культурой и спортом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15 931 504,92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15 931 504,92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Спорт высших достижений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428 862 965,07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428 862 965,07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региональных проектов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"Создание условий, обеспеч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вающих возможность системат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чески заниматься физической культурой и спортом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физич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ской культуры и спорта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казенных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20 606 885,50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21 431 465,54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22 289 284,34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финансов админис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273 466 180,05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276 798 958,74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288 571 766,78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271 956 163,02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275 973 557,95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288 315 564,95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фина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</w:t>
            </w:r>
            <w:r>
              <w:rPr>
                <w:color w:val="000000"/>
              </w:rPr>
              <w:t xml:space="preserve">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188 244 716,75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201 966 484,00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210 030 095,00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67 496 811,38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71 952 073,95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76 225 469,95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16 154 634,89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14 259 634,89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деятельности мун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ципальных казенных учреждений, субсидии муниципальным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 и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Владивостокского городского округа, за исключением учрежд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14 259 634,89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t xml:space="preserve">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12 571 377,25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1 688 257,64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ОБСЛУЖИВАНИЕ ГОСУДА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СТВЕННОГО (МУНИЦИПАЛ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НОГО) ДОЛГА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"Обслуживание муниципал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долга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культуры администр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939 582 681,18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907 880 736,29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978 520 199,59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496 721 351,56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553 907 818,88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604 696 320,98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Дополнительное образование 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604 626 220,98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604 626 220,98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"Семе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"Реализация дополнител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общеобразовательных </w:t>
            </w:r>
            <w:r>
              <w:rPr>
                <w:color w:val="000000"/>
              </w:rPr>
              <w:t xml:space="preserve">пре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профессиональных</w:t>
            </w:r>
            <w:r>
              <w:rPr>
                <w:color w:val="000000"/>
              </w:rPr>
              <w:t xml:space="preserve"> программ в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ласти искусств и оснащение 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зовательных учреждений в сфере </w:t>
            </w:r>
            <w:r>
              <w:rPr>
                <w:color w:val="000000"/>
              </w:rPr>
              <w:t xml:space="preserve">культуры музыкальными инстр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ментами и художественным и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вентарем"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t xml:space="preserve">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КУЛЬТУРА, КИНЕМАТОГР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ФИЯ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438 841 329,62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353 972 917,41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373 823 878,61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"Семе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277 949 316,45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10 272 860,26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10 619 543,67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10 980 479,35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</w:t>
            </w:r>
            <w:r>
              <w:rPr>
                <w:color w:val="000000"/>
              </w:rPr>
              <w:t xml:space="preserve">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8 837 932,00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9 189 883,00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9 555 960,00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1 373 668,26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1 376 849,67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1 380 158,35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52 811,00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44 361,00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"Организация </w:t>
            </w:r>
            <w:r>
              <w:rPr>
                <w:color w:val="000000"/>
              </w:rPr>
              <w:t xml:space="preserve">культурно-досуговых</w:t>
            </w:r>
            <w:r>
              <w:rPr>
                <w:color w:val="000000"/>
              </w:rPr>
              <w:t xml:space="preserve"> мероприятий"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"Организация деятельн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"Организация выставо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ной деятельности"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"Библиотечное, библи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графическое и информационное обслуживание пользователей би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лиотек, комплектование книжных фондов и обеспечение информац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культ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ры, кинематографии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62 343 201,45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53 847 312,30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68 659 235,98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62 343 201,45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53 847 312,30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68 659 235,98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62 343 201,45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53 847 312,30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68 659 235,98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46 296 055,17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48 076 777,53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49 929 117,53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t xml:space="preserve">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44 757 879,64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46 538 602,00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48 390 942,00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"Охрана, сохранение и поп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ляризация объектов культурного наследия (памятников истории и культуры): произведений мон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ментального искусства и отдел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захоронений, находящихся в муниципальной собственности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сохранности скульптур, посвященных истор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ческим событиям и выдающимся личностям, не являющихся объе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тами культурного наследия, нах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дящихся в муниципальной собс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венности ВГО"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насел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4 548 429 944,06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988 958 251,22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621 852 467,30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18 188 883,98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3 987 878,79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4 459 483 260,08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984 712 572,43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616 594 667,30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Дорожное хозяйство (дорожные фонды)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4 342 195 430,84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865 002 519,14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491 618 337,79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"Дор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ги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4 297 004 690,84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865 002 519,14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491 618 337,79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</w:t>
            </w:r>
            <w:r>
              <w:rPr>
                <w:color w:val="000000"/>
              </w:rPr>
              <w:t xml:space="preserve">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"Реги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нальная и местная дорожная сеть"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1 634 800 496,99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дорожного хозяйства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дорожного хозяйства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образований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морского края и организации транспортного обслуживания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селения в границах муниципал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1 634 582 845,29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670 105 263,16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622 477 582,13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2 362 204 193,85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256 920 700,96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214 118 337,79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139 840 135,04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65 482 419,26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67 960 481,39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49 477 587,00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51 457 159,00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53 516 133,00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82 077 888,04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13 866 928,26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14 286 016,39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8 284 660,00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"Ремонт и капитальный ремонт автомобильных дорог общего пользования местного значения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391 133 225,16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344 677 458,11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46 455 767,05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"Проектирование, строител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ство, реконструкция объектов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"Содержание дорожной и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1 140 447 890,78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30 527 681,70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37 004 438,60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171 492 747,55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7 758 764,70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9 830 874,06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968 955 143,23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22 768 917,00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27 173 564,54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</w:t>
            </w:r>
            <w:r>
              <w:rPr>
                <w:color w:val="000000"/>
              </w:rPr>
              <w:t xml:space="preserve">Субсии</w:t>
            </w:r>
            <w:r>
              <w:rPr>
                <w:color w:val="000000"/>
              </w:rPr>
              <w:t xml:space="preserve"> муниципальным бюджетным учреждениям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востокского городского округа на содержание имущества"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"Приобретение специализир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ванной дорожной техники и об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рудования для нужд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земельных уч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стков, предоставленных на бе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платной основе гражданам, име</w:t>
            </w:r>
            <w:r>
              <w:rPr>
                <w:color w:val="000000"/>
              </w:rPr>
              <w:t xml:space="preserve">ю</w:t>
            </w:r>
            <w:r>
              <w:rPr>
                <w:color w:val="000000"/>
              </w:rPr>
              <w:t xml:space="preserve">щим трех и более детей, инжене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наци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нальной экономики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"Дор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ги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109 740 058,07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114 860 053,29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120 126 329,51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3 197 771,17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"Благоустройство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"Дор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ги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 xml:space="preserve">содержания жилищн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1 299 390 100,87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789 446 697,78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660 241 648,28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1 299 187 300,87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789 343 897,78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660 138 848,28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868 125 501,15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"Зд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ровый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"Обеспечение доступн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 жилищного фонда и жилых помещений инвалидов (семей, имеющих детей-инвалидов) с уч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том потребностей инвалидов (д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тей-инвалидов)"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тройство территорий, детских и спортивных площадок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</w:t>
            </w:r>
            <w:r>
              <w:rPr>
                <w:color w:val="000000"/>
              </w:rPr>
              <w:t xml:space="preserve">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475 317 027,88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317 791 093,88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157 525 934,00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"Реконструкция, капитал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ный и текущий ремонт жилых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мещений муниципального жили</w:t>
            </w:r>
            <w:r>
              <w:rPr>
                <w:color w:val="000000"/>
              </w:rPr>
              <w:t xml:space="preserve">щ</w:t>
            </w:r>
            <w:r>
              <w:rPr>
                <w:color w:val="000000"/>
              </w:rPr>
              <w:t xml:space="preserve">ного фонда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"Сохранение внешнего и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торико-архитектурного облика зданий, сооружений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"Создание условий для обеспечения качес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венными услугами жилищного х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зяйства Владивостокского горо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ведомственный проект "Содержание мест (площ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док) накоплений твердых комм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нальных отходов на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6 743 881,72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230 609 675,69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230 609 675,69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"Форм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тройство территорий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 в рамках </w:t>
            </w:r>
            <w:r>
              <w:rPr>
                <w:color w:val="000000"/>
              </w:rPr>
              <w:t xml:space="preserve">реализации мероприятий планов социального развития центров экономического роста субъектов Российской</w:t>
            </w:r>
            <w:r>
              <w:rPr>
                <w:color w:val="000000"/>
              </w:rPr>
              <w:t xml:space="preserve"> Федерации, входящих в состав Дальневосточного фед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жили</w:t>
            </w:r>
            <w:r>
              <w:rPr>
                <w:color w:val="000000"/>
              </w:rPr>
              <w:t xml:space="preserve">щ</w:t>
            </w:r>
            <w:r>
              <w:rPr>
                <w:color w:val="000000"/>
              </w:rPr>
              <w:t xml:space="preserve">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200 452 124,03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208 034 359,67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215 761 986,41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200 452 124,03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208 034 359,67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215 761 986,41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200 452 124,03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208 034 359,67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215 761 986,41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200 452 124,03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208 034 359,67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215 761 986,41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185 268 093,97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192 660 618,20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200 349 900,56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15 063 617,78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15 254 887,78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15 294 790,78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120 412,28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118 853,69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117 295,07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транспорта админис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2 159 566 517,28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654 957 081,65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607 238 495,04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</w:t>
            </w:r>
            <w:r>
              <w:rPr>
                <w:color w:val="000000"/>
              </w:rPr>
              <w:t xml:space="preserve">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11 330 224,97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11 330 224,97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щественный транспорт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казенных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3 391 730,00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3 300 931,00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3 210 132,00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Реализация муниципальных фун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ций, связанных с общегосударс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7 936 494,97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2 148 232 392,31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651 650 250,65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604 022 463,04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2 148 232 392,31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651 650 250,65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604 022 463,04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щественный транспорт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2 148 219 520,12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651 637 908,29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проекты, в рамках региональных проектов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дорожного хозяйства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образований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морского края и организации транспортного обслуживания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селения в границах муниципал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1 970 444 700,12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602 475 928,29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казенных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35 422 841,89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36 746 932,94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38 280 631,20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34 975 400,13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36 368 215,28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37 847 524,87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447 441,76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378 717,66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433 106,33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115 320 374,00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13 320 374,00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деятельности городского наземного электрич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деятельности городского автомобильного тран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1 540 433 683,97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1 152 712 710,00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387 720 973,97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пальных образований Приморск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края на осуществление отдел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государственных полномочий по организации транспортного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служивания населения внеули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ным транспортом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городской среды а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2 706 781 999,09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668 942 648,56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790 812 895,08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Сельское хозяйство и рыболовство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на организацию пров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дения мероприятий по предупре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дению и ликвидации болезней 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вотных, их лечению, отлову и с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держанию безнадзорных живо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ных, защите населения от боле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ней, общих для человека и живо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ных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2 651 945 530,09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614 154 626,56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735 904 166,08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1 863 832 074,45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221 363 575,33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173 164 891,83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"Реализация мероприятий, имеющих приоритетное значение для жителей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1 857 771 468,39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221 363 575,33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173 164 891,83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"Форм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67 106 327,53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тройство общественных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14 588 129,35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10 414 129,35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4 174 000,00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"Благоу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тройство территорий, детских и спортивных площадок на террит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1 672 966 951,85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"Озеленение территории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105 229 856,00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105 229 856,00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"Благоустройство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1 099 208 631,83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491 137 011,41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608 071 620,42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"Создание постоянно дейс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вующей экспозиции Национальн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центра "Россия"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жили</w:t>
            </w:r>
            <w:r>
              <w:rPr>
                <w:color w:val="000000"/>
              </w:rPr>
              <w:t xml:space="preserve">щ</w:t>
            </w:r>
            <w:r>
              <w:rPr>
                <w:color w:val="000000"/>
              </w:rPr>
              <w:t xml:space="preserve">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788 113 455,64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392 791 051,23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562 739 274,25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788 113 455,64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392 791 051,23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562 739 274,25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не вход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щие в состав национальных прое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"Стро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тельство, реконструкция объектов благоустройства (в том числе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ектно-изыскательские работы), н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ходящихся в муниципальной со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ственности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2 814 928,24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4 599 442,38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788 113 455,64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389 000 360,78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555 324 903,63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402 551 303,51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369 608 821,23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384 399 287,18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t xml:space="preserve">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355 628 461,02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369 608 821,23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384 399 287,18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42 904 535,49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4 018 307,00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"Благоустройство территории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19 391 539,55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170 925 616,45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83 536 211,23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19 391 539,55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87 389 405,22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"Ж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насел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Субвенции бюджетам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пальных образований Приморск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края на осуществление отдел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ного государственного полном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чия по возмещению специализир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ванным службам по вопросам п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хоронного дела стоимости услуг по погребению умерших, не 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лежащих обязательному социал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ному страхованию на случай вр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менной нетрудоспособности и в связи с материнством на день смерти и не являющихся пенси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нерами, а также в случае рождения </w:t>
            </w:r>
            <w:r>
              <w:rPr>
                <w:color w:val="000000"/>
              </w:rPr>
              <w:t xml:space="preserve">мертвого ребенка по истечении 154 дней беременности, предоставля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мых согласно гарантированному</w:t>
            </w:r>
            <w:r>
              <w:rPr>
                <w:color w:val="000000"/>
              </w:rPr>
              <w:t xml:space="preserve">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муниципальной собс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венности г</w:t>
            </w:r>
            <w:r>
              <w:rPr>
                <w:color w:val="000000"/>
              </w:rPr>
              <w:t xml:space="preserve">.В</w:t>
            </w:r>
            <w:r>
              <w:rPr>
                <w:color w:val="000000"/>
              </w:rPr>
              <w:t xml:space="preserve">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662 473 597,74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503 172 437,53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518 606 015,83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540 122 617,74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503 131 637,53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518 471 215,83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общегосударственные 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просы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540 122 617,74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503 131 637,53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518 471 215,83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540 122 617,74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503 131 637,53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518 471 215,83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540 122 617,74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503 131 637,53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518 471 215,83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490 906 960,87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497 757 135,37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512 846 592,90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</w:t>
            </w:r>
            <w:r>
              <w:rPr>
                <w:color w:val="000000"/>
              </w:rPr>
              <w:t xml:space="preserve">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468 352 819,72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487 088 008,12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506 420 618,05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20 140 338,12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8 315 525,22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4 072 572,82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2 413 803,03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2 353 602,03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2 353 402,03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"Содержание нежилых пом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щений, зданий имущества казны Владивостокского городского 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44 004 656,87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4 834 502,16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5 032 422,93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31 007 584,66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4 789 041,54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5 011 581,78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45 460,62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20 841,15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"Вовлечение муниципального имущества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144 980,00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134 800,00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127 000,00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127 000,00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127 000,00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137 180,00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127 000,00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"Эк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номика и финансы города Влад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"Предоставление гражданам, имеющим трех и более детей, иной меры социальной поддержки в в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де единовременной денежной в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платы взамен предоставления з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архитектуры и стро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тельства </w:t>
            </w:r>
            <w:r>
              <w:rPr>
                <w:color w:val="000000"/>
              </w:rPr>
              <w:t xml:space="preserve">объектов Владивосто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ского городского округа админ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2 018 891 630,42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1 897 581 598,83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1 127 731 251,14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863 493 650,17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166 101 976,06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177 835 214,02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наци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нальной экономики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863 493 650,17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166 101 976,06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177 835 214,02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863 493 650,17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166 101 976,06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177 835 214,02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863 493 650,17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166 101 976,06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177 835 214,02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150 096 386,44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154 675 418,89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165 808 656,85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130 594 850,92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135 807 888,20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141 237 688,89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18 119 624,07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17 492 565,07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23 649 490,63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1 381 911,45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1 374 965,62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921 477,33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развития град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1 245 473,00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1 245 473,00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тий: "Проектирование, реконс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рукция, капитальный ремонт об</w:t>
            </w:r>
            <w:r>
              <w:rPr>
                <w:color w:val="000000"/>
              </w:rPr>
              <w:t xml:space="preserve">ъ</w:t>
            </w:r>
            <w:r>
              <w:rPr>
                <w:color w:val="000000"/>
              </w:rPr>
              <w:t xml:space="preserve">ектов муниципальной собственн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683 011 853,22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696 672,19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деятельности бюджетного учреждения по оказ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нию муниципальных услуг (в</w:t>
            </w:r>
            <w:r>
              <w:rPr>
                <w:color w:val="000000"/>
              </w:rPr>
              <w:t xml:space="preserve">ы</w:t>
            </w:r>
            <w:r>
              <w:rPr>
                <w:color w:val="000000"/>
              </w:rPr>
              <w:t xml:space="preserve">полнение работ)"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405 162 819,27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"Строительство (в том числе проектно-изыскательские работы) многоквартирных домов для пер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селения граждан из многокварти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ных домов, признанных авари</w:t>
            </w:r>
            <w:r>
              <w:rPr>
                <w:color w:val="000000"/>
              </w:rPr>
              <w:t xml:space="preserve">й</w:t>
            </w:r>
            <w:r>
              <w:rPr>
                <w:color w:val="000000"/>
              </w:rPr>
              <w:t xml:space="preserve">ными и подлежащими сносу"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земельных уч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стков, предоставленных на бе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платной основе гражданам, име</w:t>
            </w:r>
            <w:r>
              <w:rPr>
                <w:color w:val="000000"/>
              </w:rPr>
              <w:t xml:space="preserve">ю</w:t>
            </w:r>
            <w:r>
              <w:rPr>
                <w:color w:val="000000"/>
              </w:rPr>
              <w:t xml:space="preserve">щим трех и более детей, инжене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489 286 752,06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505 297 112,81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15 552 602,78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212 357 166,60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212 357 166,60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212 357 166,60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"Развитие инфраструктуры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ганизаций дошкольного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212 357 166,60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132 028,27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2 799 290,77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177 465 068,29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12 331 656,05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34 760 070,04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"Развитие инфраструктуры общеобразовательных организ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260 952 000,00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416 828,10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467 125,84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421 655,96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409 028,10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459 325,84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413 855,96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409 028,10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459 325,84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413 855,96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409 028,10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459 325,84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413 855,96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409 028,10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459 325,84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413 855,96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ми детей-сирот и детей, оставши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без попечения родителей, лиц из их числа за счет сре</w:t>
            </w:r>
            <w:r>
              <w:rPr>
                <w:color w:val="000000"/>
              </w:rPr>
              <w:t xml:space="preserve">дств кр</w:t>
            </w:r>
            <w:r>
              <w:rPr>
                <w:color w:val="000000"/>
              </w:rPr>
              <w:t xml:space="preserve">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"Спо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"Совершенствование спорти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градостроительства администрации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228 593 320,22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217 789 202,82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226 394 848,53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228 539 520,22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217 724 902,82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226 330 548,53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наци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нальной экономики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228 539 520,22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217 724 902,82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226 330 548,53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228 539 520,22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217 724 902,82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226 330 548,53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228 539 520,22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217 724 902,82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226 330 548,53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</w:t>
            </w:r>
            <w:r>
              <w:rPr>
                <w:color w:val="000000"/>
              </w:rPr>
              <w:t xml:space="preserve">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209 539 520,22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217 724 902,82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226 330 548,53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206 870 707,00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215 151 052,45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223 764 233,01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2 597 737,22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2 503 991,37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2 497 520,52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71 076,00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69 859,00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68 795,00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"Обеспечение развития град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64 300,00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64 300,00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53 800,00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64 300,00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64 300,00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"Арх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56 500,00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пальными учреждениями 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вания администрации города Вл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15 991 814 201,62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15 330 788 016,57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16 181 512 601,16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15 663 399 388,62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15 156 920 166,15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16 001 880 800,74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6 001 050 421,53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6 197 202 946,08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6 398 952 034,76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6 001 050 421,53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6 197 202 946,08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6 398 952 034,76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</w:t>
            </w:r>
            <w:r>
              <w:rPr>
                <w:color w:val="000000"/>
              </w:rPr>
              <w:t xml:space="preserve">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семьи"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5 933 596 178,77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деятельности и образовательного процесса 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дошкольных 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вательных учреждениях города Владивостока по основным общ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"Развитие инфраструктуры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ганизаций дошкольного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181 818 181,82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181 818 181,82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деятельности и образовательного процесса 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общеобразовател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учреждениях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8 402 908 132,21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7 779 621 632,52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8 378 922 920,75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7 779 621 632,52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528 637 560,48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"Все лу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шее детям"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7 850 285 360,27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7 450 438 636,52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8 049 147 369,82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деятельности и образовательного процесса 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общеобразовател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учреждениях города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7 475 815 963,22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t xml:space="preserve">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2 082 000,00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7 473 733 963,22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"Развитие инфраструктуры общеобразовательных организ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ций"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383 107 215,70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383 107 215,70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"По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приятие "Реализация мероприятий, имеющих приоритетное значение для жителей Владивостокского 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Непрограммные</w:t>
            </w:r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Возмещение части затрат по опл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те коммунальных услуг социально ориентированным некоммерч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ским организациям, осущест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ляющим деятельность в сфере о</w:t>
            </w:r>
            <w:r>
              <w:rPr>
                <w:color w:val="000000"/>
              </w:rPr>
              <w:t xml:space="preserve">б</w:t>
            </w:r>
            <w:r>
              <w:rPr>
                <w:color w:val="000000"/>
              </w:rPr>
              <w:t xml:space="preserve">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Дополнительное образование 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деятельности и образовательного процесса в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учреждениях допо</w:t>
            </w:r>
            <w:r>
              <w:rPr>
                <w:color w:val="000000"/>
              </w:rPr>
              <w:t xml:space="preserve">л</w:t>
            </w:r>
            <w:r>
              <w:rPr>
                <w:color w:val="000000"/>
              </w:rPr>
              <w:t xml:space="preserve">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и проведение мероприятий различной напра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ленности"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Профессиональная подготовка, п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реподготовка и повышение квал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фикации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40 740,00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"Просвещение в сфере прот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Другие вопросы в области 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"Руководство и управление в сфере установленных функций о</w:t>
            </w:r>
            <w:r>
              <w:rPr>
                <w:color w:val="000000"/>
              </w:rPr>
              <w:t xml:space="preserve">р</w:t>
            </w:r>
            <w:r>
              <w:rPr>
                <w:color w:val="000000"/>
              </w:rPr>
              <w:t xml:space="preserve">ганов местного самоуправления, муниципальных казённых учре</w:t>
            </w:r>
            <w:r>
              <w:rPr>
                <w:color w:val="000000"/>
              </w:rPr>
              <w:t xml:space="preserve">ж</w:t>
            </w:r>
            <w:r>
              <w:rPr>
                <w:color w:val="000000"/>
              </w:rPr>
              <w:t xml:space="preserve">дений Владивостокского городск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433 588 822,30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419 840 861,31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436 404 930,26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ниципальными) органами, казе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392 412 213,83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407 887 606,61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424 218 934,89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39 645 592,84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11 255 284,67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11 488 025,34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33 045,60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1 497 970,03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деятельности муниципального бюджетного у</w:t>
            </w:r>
            <w:r>
              <w:rPr>
                <w:color w:val="000000"/>
              </w:rPr>
              <w:t xml:space="preserve">ч</w:t>
            </w:r>
            <w:r>
              <w:rPr>
                <w:color w:val="000000"/>
              </w:rPr>
              <w:t xml:space="preserve">реждения "Центр психолого-педагогической, медицинской и социальной помощи </w:t>
            </w:r>
            <w:r>
              <w:rPr>
                <w:color w:val="000000"/>
              </w:rPr>
              <w:t xml:space="preserve">г</w:t>
            </w:r>
            <w:r>
              <w:rPr>
                <w:color w:val="000000"/>
              </w:rPr>
              <w:t xml:space="preserve">. Владив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отдыха, озд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ровления и занятости обучающи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(детей) муниципальных 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89 290 900,00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89 290 900,00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328 414 813,00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насел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144 080 000,00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144 080 000,00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144 080 000,00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144 080 000,00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Предоставление субсидий бю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жетным, автономным учрежден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иным некоммерческим орг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144 080 000,00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184 334 813,00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Муниципальная программа "Обр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184 334 813,00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Комплексы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184 334 813,00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"Меры поддержки семей, имеющих детей, осваивающих о</w:t>
            </w: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новные общеобразовательные пр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</w:t>
            </w:r>
            <w:r>
              <w:rPr>
                <w:color w:val="000000"/>
              </w:rPr>
              <w:t xml:space="preserve">я</w:t>
            </w:r>
            <w:r>
              <w:rPr>
                <w:color w:val="000000"/>
              </w:rPr>
              <w:t xml:space="preserve">тий "Организация отдыха, озд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ровления и занятости обучающи</w:t>
            </w: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  <w:t xml:space="preserve">ся (детей) муниципальных образ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46 000 000,00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sz w:val="2"/>
              </w:rPr>
            </w:pPr>
            <w:r>
              <w:rPr>
                <w:color w:val="000000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-34289</wp:posOffset>
                </wp:positionH>
                <wp:positionV relativeFrom="paragraph">
                  <wp:posOffset>344805</wp:posOffset>
                </wp:positionV>
                <wp:extent cx="936371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36371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251658240;o:allowoverlap:true;o:allowincell:true;mso-position-horizontal-relative:text;margin-left:-2.70pt;mso-position-horizontal:absolute;mso-position-vertical-relative:text;margin-top:27.15pt;mso-position-vertical:absolute;width:737.30pt;height:0.00pt;mso-wrap-distance-left:9.00pt;mso-wrap-distance-top:0.00pt;mso-wrap-distance-right:9.00pt;mso-wrap-distance-bottom:0.00pt;visibility:visible;" path="m0,0l100000,100000e" coordsize="100000,100000" filled="f" strokecolor="#000000">
                <v:path textboxrect="0,0,0,0"/>
              </v:shape>
            </w:pict>
          </mc:Fallback>
        </mc:AlternateContent>
      </w:r>
      <w:r/>
    </w:p>
    <w:sectPr>
      <w:headerReference w:type="default" r:id="rId8"/>
      <w:footnotePr/>
      <w:endnotePr/>
      <w:type w:val="nextPage"/>
      <w:pgSz w:w="16838" w:h="11906" w:orient="landscape"/>
      <w:pgMar w:top="1417" w:right="1020" w:bottom="850" w:left="119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9930704"/>
      <w:docPartObj>
        <w:docPartGallery w:val="Page Numbers (Top of Page)"/>
        <w:docPartUnique w:val="true"/>
      </w:docPartObj>
      <w:rPr/>
    </w:sdtPr>
    <w:sdtContent>
      <w:p>
        <w:pPr>
          <w:pStyle w:val="67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67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79"/>
    <w:uiPriority w:val="99"/>
  </w:style>
  <w:style w:type="character" w:styleId="45">
    <w:name w:val="Footer Char"/>
    <w:basedOn w:val="676"/>
    <w:link w:val="681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1"/>
    <w:uiPriority w:val="99"/>
  </w:style>
  <w:style w:type="table" w:styleId="48">
    <w:name w:val="Table Grid"/>
    <w:basedOn w:val="6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>
    <w:name w:val="Header"/>
    <w:basedOn w:val="675"/>
    <w:link w:val="6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0" w:customStyle="1">
    <w:name w:val="Верхний колонтитул Знак"/>
    <w:basedOn w:val="676"/>
    <w:link w:val="679"/>
    <w:uiPriority w:val="99"/>
  </w:style>
  <w:style w:type="paragraph" w:styleId="681">
    <w:name w:val="Footer"/>
    <w:basedOn w:val="675"/>
    <w:link w:val="68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2" w:customStyle="1">
    <w:name w:val="Нижний колонтитул Знак"/>
    <w:basedOn w:val="676"/>
    <w:link w:val="681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A1DF7-9978-4C89-9A2B-41531786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5</cp:revision>
  <dcterms:created xsi:type="dcterms:W3CDTF">2025-04-28T00:47:00Z</dcterms:created>
  <dcterms:modified xsi:type="dcterms:W3CDTF">2025-04-29T01:59:35Z</dcterms:modified>
</cp:coreProperties>
</file>